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4F" w:rsidRPr="0089465D" w:rsidRDefault="006A6155" w:rsidP="0089465D">
      <w:pPr>
        <w:spacing w:after="0" w:line="360" w:lineRule="auto"/>
        <w:jc w:val="center"/>
        <w:rPr>
          <w:rFonts w:ascii="Arial" w:hAnsi="Arial" w:cs="Arial"/>
          <w:b/>
          <w:color w:val="339966"/>
          <w:sz w:val="24"/>
          <w:szCs w:val="24"/>
        </w:rPr>
      </w:pPr>
      <w:r w:rsidRPr="0089465D">
        <w:rPr>
          <w:rFonts w:ascii="Arial" w:hAnsi="Arial" w:cs="Arial"/>
          <w:b/>
          <w:color w:val="339966"/>
          <w:sz w:val="24"/>
          <w:szCs w:val="24"/>
        </w:rPr>
        <w:t>NORMAS DE PUBLICACIÓN A PARTIR DEL NÚMERO 13</w:t>
      </w:r>
    </w:p>
    <w:p w:rsidR="0076464F" w:rsidRPr="00D23C92" w:rsidRDefault="0076464F" w:rsidP="008946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CC6" w:rsidRPr="00D23C92" w:rsidRDefault="0076464F" w:rsidP="008946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>Los artículos deberán</w:t>
      </w:r>
      <w:r w:rsidR="006C1CC6" w:rsidRPr="00D23C92">
        <w:rPr>
          <w:rFonts w:ascii="Arial" w:hAnsi="Arial" w:cs="Arial"/>
          <w:sz w:val="20"/>
          <w:szCs w:val="20"/>
        </w:rPr>
        <w:t xml:space="preserve"> cumplir la siguiente normativa (Según Documento Base):</w:t>
      </w:r>
    </w:p>
    <w:p w:rsidR="0076464F" w:rsidRPr="00D23C92" w:rsidRDefault="0076464F" w:rsidP="008946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6464F" w:rsidRPr="00D23C92" w:rsidRDefault="0076464F" w:rsidP="0089465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 xml:space="preserve">Los artículos tendrán una extensión máxima de 10 páginas, tamaño A4 (210 x 297mm), </w:t>
      </w:r>
      <w:r w:rsidR="007A08B3">
        <w:rPr>
          <w:rFonts w:ascii="Arial" w:hAnsi="Arial" w:cs="Arial"/>
          <w:sz w:val="20"/>
          <w:szCs w:val="20"/>
        </w:rPr>
        <w:t>el margen superior será</w:t>
      </w:r>
      <w:r w:rsidRPr="00D23C92">
        <w:rPr>
          <w:rFonts w:ascii="Arial" w:hAnsi="Arial" w:cs="Arial"/>
          <w:sz w:val="20"/>
          <w:szCs w:val="20"/>
        </w:rPr>
        <w:t xml:space="preserve"> de 3 cm y el derecho</w:t>
      </w:r>
      <w:r w:rsidR="007A08B3">
        <w:rPr>
          <w:rFonts w:ascii="Arial" w:hAnsi="Arial" w:cs="Arial"/>
          <w:sz w:val="20"/>
          <w:szCs w:val="20"/>
        </w:rPr>
        <w:t>, izquierdo</w:t>
      </w:r>
      <w:r w:rsidRPr="00D23C92">
        <w:rPr>
          <w:rFonts w:ascii="Arial" w:hAnsi="Arial" w:cs="Arial"/>
          <w:sz w:val="20"/>
          <w:szCs w:val="20"/>
        </w:rPr>
        <w:t xml:space="preserve"> e inferior de 2</w:t>
      </w:r>
      <w:r w:rsidR="007A08B3">
        <w:rPr>
          <w:rFonts w:ascii="Arial" w:hAnsi="Arial" w:cs="Arial"/>
          <w:sz w:val="20"/>
          <w:szCs w:val="20"/>
        </w:rPr>
        <w:t>,5</w:t>
      </w:r>
      <w:r w:rsidRPr="00D23C92">
        <w:rPr>
          <w:rFonts w:ascii="Arial" w:hAnsi="Arial" w:cs="Arial"/>
          <w:sz w:val="20"/>
          <w:szCs w:val="20"/>
        </w:rPr>
        <w:t xml:space="preserve"> cm.</w:t>
      </w:r>
      <w:r w:rsidR="008C53AD" w:rsidRPr="00D23C92">
        <w:rPr>
          <w:rFonts w:ascii="Arial" w:hAnsi="Arial" w:cs="Arial"/>
          <w:sz w:val="20"/>
          <w:szCs w:val="20"/>
        </w:rPr>
        <w:t xml:space="preserve"> Idiomas</w:t>
      </w:r>
      <w:r w:rsidR="00D23C92" w:rsidRPr="00D23C92">
        <w:rPr>
          <w:rFonts w:ascii="Arial" w:hAnsi="Arial" w:cs="Arial"/>
          <w:sz w:val="20"/>
          <w:szCs w:val="20"/>
        </w:rPr>
        <w:t xml:space="preserve"> aceptados: Español / portugués.</w:t>
      </w:r>
    </w:p>
    <w:p w:rsidR="0076464F" w:rsidRPr="00D23C92" w:rsidRDefault="0076464F" w:rsidP="0089465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>No deberán exceder el tamaño de 2 MB (2000 KB). El cuerpo del texto se presentará en letra Arial 10 a una columna, justificado completo con un interlineado de 1,15, sin sangría. Si se utilizan títulos o subtítulos los mismos deberán ser en letra negrita sin subrayado, alineados a la izquierda. El texto se redactará en el renglón siguiente.</w:t>
      </w:r>
    </w:p>
    <w:p w:rsidR="0076464F" w:rsidRPr="00D23C92" w:rsidRDefault="0076464F" w:rsidP="0089465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>El título en mayúsculas, Arial 11</w:t>
      </w:r>
      <w:r w:rsidR="008C53AD" w:rsidRPr="00D23C92">
        <w:rPr>
          <w:rFonts w:ascii="Arial" w:hAnsi="Arial" w:cs="Arial"/>
          <w:sz w:val="20"/>
          <w:szCs w:val="20"/>
        </w:rPr>
        <w:t>, negrita y alineación centrada</w:t>
      </w:r>
      <w:r w:rsidR="006C1CC6" w:rsidRPr="00D23C92">
        <w:rPr>
          <w:rFonts w:ascii="Arial" w:hAnsi="Arial" w:cs="Arial"/>
          <w:sz w:val="20"/>
          <w:szCs w:val="20"/>
        </w:rPr>
        <w:t xml:space="preserve"> </w:t>
      </w:r>
      <w:r w:rsidR="008C53AD" w:rsidRPr="00D23C92">
        <w:rPr>
          <w:rFonts w:ascii="Arial" w:hAnsi="Arial" w:cs="Arial"/>
          <w:sz w:val="20"/>
          <w:szCs w:val="20"/>
        </w:rPr>
        <w:t xml:space="preserve">y no exceder las 20 palabras. Idioma </w:t>
      </w:r>
      <w:r w:rsidR="006C1CC6" w:rsidRPr="00D23C92">
        <w:rPr>
          <w:rFonts w:ascii="Arial" w:hAnsi="Arial" w:cs="Arial"/>
          <w:sz w:val="20"/>
          <w:szCs w:val="20"/>
        </w:rPr>
        <w:t>español o portugués</w:t>
      </w:r>
      <w:r w:rsidR="008C53AD" w:rsidRPr="00D23C92">
        <w:rPr>
          <w:rFonts w:ascii="Arial" w:hAnsi="Arial" w:cs="Arial"/>
          <w:sz w:val="20"/>
          <w:szCs w:val="20"/>
        </w:rPr>
        <w:t xml:space="preserve"> (de acuerdo al idioma del artículo). Título en idioma </w:t>
      </w:r>
      <w:r w:rsidR="006C1CC6" w:rsidRPr="00D23C92">
        <w:rPr>
          <w:rFonts w:ascii="Arial" w:hAnsi="Arial" w:cs="Arial"/>
          <w:sz w:val="20"/>
          <w:szCs w:val="20"/>
        </w:rPr>
        <w:t>inglés.</w:t>
      </w:r>
    </w:p>
    <w:p w:rsidR="0076464F" w:rsidRPr="00D23C92" w:rsidRDefault="0076464F" w:rsidP="0089465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>El nombre y apellido del/los autores irán salteando un renglón, abajo del título, separados por comas, con letra Arial 10 normal alineados a la derecha, en cursiva.</w:t>
      </w:r>
      <w:r w:rsidR="006C1CC6" w:rsidRPr="00D23C92">
        <w:rPr>
          <w:rFonts w:ascii="Arial" w:hAnsi="Arial" w:cs="Arial"/>
          <w:sz w:val="20"/>
          <w:szCs w:val="20"/>
        </w:rPr>
        <w:t xml:space="preserve"> El orden de los autores debe guardar relación con el aporte que cada uno hizo al trabajo. </w:t>
      </w:r>
      <w:r w:rsidR="008C53AD" w:rsidRPr="00D23C92">
        <w:rPr>
          <w:rFonts w:ascii="Arial" w:hAnsi="Arial" w:cs="Arial"/>
          <w:sz w:val="20"/>
          <w:szCs w:val="20"/>
        </w:rPr>
        <w:t>Número máximo de autores 5.</w:t>
      </w:r>
    </w:p>
    <w:p w:rsidR="0076464F" w:rsidRPr="00D23C92" w:rsidRDefault="0076464F" w:rsidP="0089465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>A continuación, salteando un renglón por debajo, se detallarán los datos institucionales (cátedra, instituto, unidad, centro de investigación, escuela y/o facultad, universidad, ciudad y país), alineados a la derecha, en cursiva, un espacio abajo del título y separados por comas, con letra Arial 10 normal.</w:t>
      </w:r>
    </w:p>
    <w:p w:rsidR="0076464F" w:rsidRPr="00D23C92" w:rsidRDefault="0076464F" w:rsidP="0089465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>Salteando un renglón, alineado a la derecha, el correo electrónico de contacto, en letra Arial 10 normal.</w:t>
      </w:r>
    </w:p>
    <w:p w:rsidR="00750A7B" w:rsidRPr="00D23C92" w:rsidRDefault="00750A7B" w:rsidP="0089465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>Resumen en español / portugués</w:t>
      </w:r>
      <w:r w:rsidR="006C1CC6" w:rsidRPr="00D23C92">
        <w:rPr>
          <w:rFonts w:ascii="Arial" w:hAnsi="Arial" w:cs="Arial"/>
          <w:sz w:val="20"/>
          <w:szCs w:val="20"/>
        </w:rPr>
        <w:t xml:space="preserve">: </w:t>
      </w:r>
      <w:r w:rsidR="004C5D7B" w:rsidRPr="00D23C92">
        <w:rPr>
          <w:rFonts w:ascii="Arial" w:hAnsi="Arial" w:cs="Arial"/>
          <w:sz w:val="20"/>
          <w:szCs w:val="20"/>
        </w:rPr>
        <w:t>2</w:t>
      </w:r>
      <w:r w:rsidR="006C1CC6" w:rsidRPr="00D23C92">
        <w:rPr>
          <w:rFonts w:ascii="Arial" w:hAnsi="Arial" w:cs="Arial"/>
          <w:sz w:val="20"/>
          <w:szCs w:val="20"/>
        </w:rPr>
        <w:t xml:space="preserve">00 palabras. </w:t>
      </w:r>
      <w:r w:rsidR="00D23C92" w:rsidRPr="00D23C92">
        <w:rPr>
          <w:rFonts w:ascii="Arial" w:hAnsi="Arial" w:cs="Arial"/>
          <w:sz w:val="20"/>
          <w:szCs w:val="20"/>
        </w:rPr>
        <w:t>Deberá expresar</w:t>
      </w:r>
      <w:r w:rsidR="006C1CC6" w:rsidRPr="00D23C92">
        <w:rPr>
          <w:rFonts w:ascii="Arial" w:hAnsi="Arial" w:cs="Arial"/>
          <w:sz w:val="20"/>
          <w:szCs w:val="20"/>
        </w:rPr>
        <w:t xml:space="preserve"> de manera separada: objetivo</w:t>
      </w:r>
      <w:r w:rsidR="00D23C92" w:rsidRPr="00D23C92">
        <w:rPr>
          <w:rFonts w:ascii="Arial" w:hAnsi="Arial" w:cs="Arial"/>
          <w:sz w:val="20"/>
          <w:szCs w:val="20"/>
        </w:rPr>
        <w:t xml:space="preserve">s, </w:t>
      </w:r>
      <w:r w:rsidR="006C1CC6" w:rsidRPr="00D23C92">
        <w:rPr>
          <w:rFonts w:ascii="Arial" w:hAnsi="Arial" w:cs="Arial"/>
          <w:sz w:val="20"/>
          <w:szCs w:val="20"/>
        </w:rPr>
        <w:t xml:space="preserve">metodología, resultados, </w:t>
      </w:r>
      <w:r w:rsidR="00D23C92" w:rsidRPr="00D23C92">
        <w:rPr>
          <w:rFonts w:ascii="Arial" w:hAnsi="Arial" w:cs="Arial"/>
          <w:sz w:val="20"/>
          <w:szCs w:val="20"/>
        </w:rPr>
        <w:t xml:space="preserve">reflexiones y/o </w:t>
      </w:r>
      <w:r w:rsidR="006C1CC6" w:rsidRPr="00D23C92">
        <w:rPr>
          <w:rFonts w:ascii="Arial" w:hAnsi="Arial" w:cs="Arial"/>
          <w:sz w:val="20"/>
          <w:szCs w:val="20"/>
        </w:rPr>
        <w:t>conclusiones</w:t>
      </w:r>
      <w:r w:rsidR="00D23C92" w:rsidRPr="00D23C92">
        <w:rPr>
          <w:rFonts w:ascii="Arial" w:hAnsi="Arial" w:cs="Arial"/>
          <w:sz w:val="20"/>
          <w:szCs w:val="20"/>
        </w:rPr>
        <w:t>.</w:t>
      </w:r>
    </w:p>
    <w:p w:rsidR="00750A7B" w:rsidRPr="00D23C92" w:rsidRDefault="00D23C92" w:rsidP="0089465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23C92">
        <w:rPr>
          <w:rFonts w:ascii="Arial" w:hAnsi="Arial" w:cs="Arial"/>
          <w:sz w:val="20"/>
          <w:szCs w:val="20"/>
        </w:rPr>
        <w:t>Abstract</w:t>
      </w:r>
      <w:proofErr w:type="spellEnd"/>
      <w:r w:rsidR="00750A7B" w:rsidRPr="00D23C92">
        <w:rPr>
          <w:rFonts w:ascii="Arial" w:hAnsi="Arial" w:cs="Arial"/>
          <w:sz w:val="20"/>
          <w:szCs w:val="20"/>
        </w:rPr>
        <w:t xml:space="preserve"> en inglés</w:t>
      </w:r>
    </w:p>
    <w:p w:rsidR="00750A7B" w:rsidRPr="00D23C92" w:rsidRDefault="00750A7B" w:rsidP="0089465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>Palabras Clave</w:t>
      </w:r>
      <w:r w:rsidR="004C5D7B" w:rsidRPr="00D23C92">
        <w:rPr>
          <w:rFonts w:ascii="Arial" w:hAnsi="Arial" w:cs="Arial"/>
          <w:sz w:val="20"/>
          <w:szCs w:val="20"/>
        </w:rPr>
        <w:t xml:space="preserve"> (en español o portugués)</w:t>
      </w:r>
      <w:r w:rsidR="006C1CC6" w:rsidRPr="00D23C92">
        <w:rPr>
          <w:rFonts w:ascii="Arial" w:hAnsi="Arial" w:cs="Arial"/>
          <w:sz w:val="20"/>
          <w:szCs w:val="20"/>
        </w:rPr>
        <w:t xml:space="preserve">: cinco, </w:t>
      </w:r>
      <w:r w:rsidR="004C5D7B" w:rsidRPr="00D23C92">
        <w:rPr>
          <w:rFonts w:ascii="Arial" w:hAnsi="Arial" w:cs="Arial"/>
          <w:sz w:val="20"/>
          <w:szCs w:val="20"/>
        </w:rPr>
        <w:t xml:space="preserve">ordenadas alfabéticamente y </w:t>
      </w:r>
      <w:r w:rsidR="006C1CC6" w:rsidRPr="00D23C92">
        <w:rPr>
          <w:rFonts w:ascii="Arial" w:hAnsi="Arial" w:cs="Arial"/>
          <w:sz w:val="20"/>
          <w:szCs w:val="20"/>
        </w:rPr>
        <w:t>no contenidas en el título.</w:t>
      </w:r>
      <w:r w:rsidRPr="00D23C92">
        <w:rPr>
          <w:rFonts w:ascii="Arial" w:hAnsi="Arial" w:cs="Arial"/>
          <w:sz w:val="20"/>
          <w:szCs w:val="20"/>
        </w:rPr>
        <w:t xml:space="preserve"> </w:t>
      </w:r>
    </w:p>
    <w:p w:rsidR="00750A7B" w:rsidRPr="00D23C92" w:rsidRDefault="00750A7B" w:rsidP="0089465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>Palabras Clave en inglés</w:t>
      </w:r>
      <w:r w:rsidR="004C5D7B" w:rsidRPr="00D23C92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4C5D7B" w:rsidRPr="00D23C92">
        <w:rPr>
          <w:rFonts w:ascii="Arial" w:hAnsi="Arial" w:cs="Arial"/>
          <w:sz w:val="20"/>
          <w:szCs w:val="20"/>
        </w:rPr>
        <w:t>key</w:t>
      </w:r>
      <w:proofErr w:type="spellEnd"/>
      <w:r w:rsidR="004C5D7B" w:rsidRPr="00D23C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5D7B" w:rsidRPr="00D23C92">
        <w:rPr>
          <w:rFonts w:ascii="Arial" w:hAnsi="Arial" w:cs="Arial"/>
          <w:sz w:val="20"/>
          <w:szCs w:val="20"/>
        </w:rPr>
        <w:t>words</w:t>
      </w:r>
      <w:proofErr w:type="spellEnd"/>
      <w:r w:rsidR="004C5D7B" w:rsidRPr="00D23C92">
        <w:rPr>
          <w:rFonts w:ascii="Arial" w:hAnsi="Arial" w:cs="Arial"/>
          <w:sz w:val="20"/>
          <w:szCs w:val="20"/>
        </w:rPr>
        <w:t>).</w:t>
      </w:r>
    </w:p>
    <w:p w:rsidR="00750A7B" w:rsidRPr="00D23C92" w:rsidRDefault="004C5D7B" w:rsidP="0089465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 xml:space="preserve">Cuerpo del artículo. Se sugiere la siguiente estructura: Introducción, Metodología, Desarrollo, Discusión </w:t>
      </w:r>
      <w:r w:rsidR="00D23C92" w:rsidRPr="00D23C92">
        <w:rPr>
          <w:rFonts w:ascii="Arial" w:hAnsi="Arial" w:cs="Arial"/>
          <w:sz w:val="20"/>
          <w:szCs w:val="20"/>
        </w:rPr>
        <w:t xml:space="preserve">de Resultados </w:t>
      </w:r>
      <w:r w:rsidRPr="00D23C92">
        <w:rPr>
          <w:rFonts w:ascii="Arial" w:hAnsi="Arial" w:cs="Arial"/>
          <w:sz w:val="20"/>
          <w:szCs w:val="20"/>
        </w:rPr>
        <w:t xml:space="preserve">y Conclusiones; luego se presentan las Referencias bibliográficas. </w:t>
      </w:r>
    </w:p>
    <w:p w:rsidR="0076464F" w:rsidRPr="00D23C92" w:rsidRDefault="0076464F" w:rsidP="0089465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 xml:space="preserve">Referencias y bibliografía: </w:t>
      </w:r>
      <w:r w:rsidR="004C5D7B" w:rsidRPr="00D23C92">
        <w:rPr>
          <w:rFonts w:ascii="Arial" w:hAnsi="Arial" w:cs="Arial"/>
          <w:sz w:val="20"/>
          <w:szCs w:val="20"/>
        </w:rPr>
        <w:t xml:space="preserve">Deberán aparecer al final del artículo en orden alfabético y se harán según las normas APA (American </w:t>
      </w:r>
      <w:proofErr w:type="spellStart"/>
      <w:r w:rsidR="004C5D7B" w:rsidRPr="00D23C92">
        <w:rPr>
          <w:rFonts w:ascii="Arial" w:hAnsi="Arial" w:cs="Arial"/>
          <w:sz w:val="20"/>
          <w:szCs w:val="20"/>
        </w:rPr>
        <w:t>Psychological</w:t>
      </w:r>
      <w:proofErr w:type="spellEnd"/>
      <w:r w:rsidR="004C5D7B" w:rsidRPr="00D23C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5D7B" w:rsidRPr="00D23C92">
        <w:rPr>
          <w:rFonts w:ascii="Arial" w:hAnsi="Arial" w:cs="Arial"/>
          <w:sz w:val="20"/>
          <w:szCs w:val="20"/>
        </w:rPr>
        <w:t>Association</w:t>
      </w:r>
      <w:proofErr w:type="spellEnd"/>
      <w:r w:rsidR="004C5D7B" w:rsidRPr="00D23C92">
        <w:rPr>
          <w:rFonts w:ascii="Arial" w:hAnsi="Arial" w:cs="Arial"/>
          <w:sz w:val="20"/>
          <w:szCs w:val="20"/>
        </w:rPr>
        <w:t xml:space="preserve">). </w:t>
      </w:r>
      <w:r w:rsidRPr="00D23C92">
        <w:rPr>
          <w:rFonts w:ascii="Arial" w:hAnsi="Arial" w:cs="Arial"/>
          <w:sz w:val="20"/>
          <w:szCs w:val="20"/>
        </w:rPr>
        <w:t>Las referencias deben estar citadas en el texto por el apellido del autor/es y el año de la refe</w:t>
      </w:r>
      <w:r w:rsidR="00D23C92" w:rsidRPr="00D23C92">
        <w:rPr>
          <w:rFonts w:ascii="Arial" w:hAnsi="Arial" w:cs="Arial"/>
          <w:sz w:val="20"/>
          <w:szCs w:val="20"/>
        </w:rPr>
        <w:t>rencia de la edición consultada</w:t>
      </w:r>
      <w:proofErr w:type="gramStart"/>
      <w:r w:rsidR="00D23C92" w:rsidRPr="00D23C92">
        <w:rPr>
          <w:rFonts w:ascii="Arial" w:hAnsi="Arial" w:cs="Arial"/>
          <w:sz w:val="20"/>
          <w:szCs w:val="20"/>
        </w:rPr>
        <w:t>.</w:t>
      </w:r>
      <w:r w:rsidRPr="00D23C92">
        <w:rPr>
          <w:rFonts w:ascii="Arial" w:hAnsi="Arial" w:cs="Arial"/>
          <w:sz w:val="20"/>
          <w:szCs w:val="20"/>
        </w:rPr>
        <w:t>.</w:t>
      </w:r>
      <w:proofErr w:type="gramEnd"/>
    </w:p>
    <w:p w:rsidR="0076464F" w:rsidRPr="00D23C92" w:rsidRDefault="009F7C66" w:rsidP="0089465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Tablas</w:t>
      </w:r>
      <w:r w:rsidR="0076464F" w:rsidRPr="00D23C92">
        <w:rPr>
          <w:rFonts w:ascii="Arial" w:hAnsi="Arial" w:cs="Arial"/>
          <w:sz w:val="20"/>
          <w:szCs w:val="20"/>
        </w:rPr>
        <w:t xml:space="preserve"> y Figuras (gráficos, dibujos, figuras, fotografías, etc.) no deben exceder el 50 % de todo el artículo y deben estar referenciados con respecto al texto.</w:t>
      </w:r>
    </w:p>
    <w:p w:rsidR="0076464F" w:rsidRPr="00D23C92" w:rsidRDefault="0076464F" w:rsidP="0089465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 xml:space="preserve">Las ilustraciones deben tener una resolución de 300 </w:t>
      </w:r>
      <w:proofErr w:type="spellStart"/>
      <w:r w:rsidRPr="00D23C92">
        <w:rPr>
          <w:rFonts w:ascii="Arial" w:hAnsi="Arial" w:cs="Arial"/>
          <w:sz w:val="20"/>
          <w:szCs w:val="20"/>
        </w:rPr>
        <w:t>ppp</w:t>
      </w:r>
      <w:proofErr w:type="spellEnd"/>
      <w:r w:rsidRPr="00D23C92">
        <w:rPr>
          <w:rFonts w:ascii="Arial" w:hAnsi="Arial" w:cs="Arial"/>
          <w:sz w:val="20"/>
          <w:szCs w:val="20"/>
        </w:rPr>
        <w:t xml:space="preserve"> (puntos por pulgada) y estar insertas al 100 % de la escala.</w:t>
      </w:r>
    </w:p>
    <w:p w:rsidR="0076464F" w:rsidRPr="00D23C92" w:rsidRDefault="006A6155" w:rsidP="0089465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 xml:space="preserve">Las tablas y figuras </w:t>
      </w:r>
      <w:r w:rsidR="0076464F" w:rsidRPr="00D23C92">
        <w:rPr>
          <w:rFonts w:ascii="Arial" w:hAnsi="Arial" w:cs="Arial"/>
          <w:sz w:val="20"/>
          <w:szCs w:val="20"/>
        </w:rPr>
        <w:t>se insertarán próximas al texto de referencia, usando un tamaño tal que los datos de las mismas sean legibles.</w:t>
      </w:r>
    </w:p>
    <w:p w:rsidR="0076464F" w:rsidRPr="00D23C92" w:rsidRDefault="008C53AD" w:rsidP="0089465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>Las figuras se insertarán en el cuerpo del texto ajustándose a la siguiente normativa</w:t>
      </w:r>
      <w:r w:rsidR="00D23C92" w:rsidRPr="00D23C92">
        <w:rPr>
          <w:rFonts w:ascii="Arial" w:hAnsi="Arial" w:cs="Arial"/>
          <w:sz w:val="20"/>
          <w:szCs w:val="20"/>
        </w:rPr>
        <w:t>:</w:t>
      </w:r>
      <w:r w:rsidRPr="00D23C92">
        <w:rPr>
          <w:rFonts w:ascii="Arial" w:hAnsi="Arial" w:cs="Arial"/>
          <w:sz w:val="20"/>
          <w:szCs w:val="20"/>
        </w:rPr>
        <w:t xml:space="preserve"> La figura es lo</w:t>
      </w:r>
      <w:r w:rsidR="00D23C92" w:rsidRPr="00D23C92">
        <w:rPr>
          <w:rFonts w:ascii="Arial" w:hAnsi="Arial" w:cs="Arial"/>
          <w:sz w:val="20"/>
          <w:szCs w:val="20"/>
        </w:rPr>
        <w:t xml:space="preserve"> primero que debe visualizarse, </w:t>
      </w:r>
      <w:r w:rsidRPr="00D23C92">
        <w:rPr>
          <w:rFonts w:ascii="Arial" w:hAnsi="Arial" w:cs="Arial"/>
          <w:sz w:val="20"/>
          <w:szCs w:val="20"/>
        </w:rPr>
        <w:t xml:space="preserve">el tamaño no debe superar las </w:t>
      </w:r>
      <w:r w:rsidR="00D23C92" w:rsidRPr="00D23C92">
        <w:rPr>
          <w:rFonts w:ascii="Arial" w:hAnsi="Arial" w:cs="Arial"/>
          <w:sz w:val="20"/>
          <w:szCs w:val="20"/>
        </w:rPr>
        <w:t>márgenes</w:t>
      </w:r>
      <w:r w:rsidRPr="00D23C92">
        <w:rPr>
          <w:rFonts w:ascii="Arial" w:hAnsi="Arial" w:cs="Arial"/>
          <w:sz w:val="20"/>
          <w:szCs w:val="20"/>
        </w:rPr>
        <w:t xml:space="preserve"> del documento. </w:t>
      </w:r>
      <w:r w:rsidR="00D90D89" w:rsidRPr="00D23C92">
        <w:rPr>
          <w:rFonts w:ascii="Arial" w:hAnsi="Arial" w:cs="Arial"/>
          <w:sz w:val="20"/>
          <w:szCs w:val="20"/>
        </w:rPr>
        <w:t>La n</w:t>
      </w:r>
      <w:r w:rsidRPr="00D23C92">
        <w:rPr>
          <w:rFonts w:ascii="Arial" w:hAnsi="Arial" w:cs="Arial"/>
          <w:sz w:val="20"/>
          <w:szCs w:val="20"/>
        </w:rPr>
        <w:t>ota de la figura</w:t>
      </w:r>
      <w:r w:rsidR="00D90D89" w:rsidRPr="00D23C92">
        <w:rPr>
          <w:rFonts w:ascii="Arial" w:hAnsi="Arial" w:cs="Arial"/>
          <w:sz w:val="20"/>
          <w:szCs w:val="20"/>
        </w:rPr>
        <w:t xml:space="preserve"> se ubicará debajo de la misma</w:t>
      </w:r>
      <w:r w:rsidRPr="00D23C92">
        <w:rPr>
          <w:rFonts w:ascii="Arial" w:hAnsi="Arial" w:cs="Arial"/>
          <w:sz w:val="20"/>
          <w:szCs w:val="20"/>
        </w:rPr>
        <w:t xml:space="preserve">: Debe comenzar con el número de la figura, </w:t>
      </w:r>
      <w:r w:rsidR="00D23C92" w:rsidRPr="00D23C92">
        <w:rPr>
          <w:rFonts w:ascii="Arial" w:hAnsi="Arial" w:cs="Arial"/>
          <w:sz w:val="20"/>
          <w:szCs w:val="20"/>
        </w:rPr>
        <w:t>ejemplo</w:t>
      </w:r>
      <w:r w:rsidRPr="00D23C92">
        <w:rPr>
          <w:rFonts w:ascii="Arial" w:hAnsi="Arial" w:cs="Arial"/>
          <w:sz w:val="20"/>
          <w:szCs w:val="20"/>
        </w:rPr>
        <w:t>: “Figura 1”, seguido de la descripción de la figura. Referencia de la figura:</w:t>
      </w:r>
      <w:r w:rsidR="00D90D89" w:rsidRPr="00D23C92">
        <w:rPr>
          <w:rFonts w:ascii="Arial" w:hAnsi="Arial" w:cs="Arial"/>
          <w:sz w:val="20"/>
          <w:szCs w:val="20"/>
        </w:rPr>
        <w:t xml:space="preserve"> </w:t>
      </w:r>
      <w:r w:rsidRPr="00D23C92">
        <w:rPr>
          <w:rFonts w:ascii="Arial" w:hAnsi="Arial" w:cs="Arial"/>
          <w:sz w:val="20"/>
          <w:szCs w:val="20"/>
        </w:rPr>
        <w:t xml:space="preserve">Si la figura fue tomada de otro lugar en la nota de la figura se debe agregar información de donde fue tomada. </w:t>
      </w:r>
      <w:r w:rsidR="00D90D89" w:rsidRPr="00D23C92">
        <w:rPr>
          <w:rFonts w:ascii="Arial" w:hAnsi="Arial" w:cs="Arial"/>
          <w:sz w:val="20"/>
          <w:szCs w:val="20"/>
        </w:rPr>
        <w:t>Tipografía</w:t>
      </w:r>
      <w:r w:rsidR="0076464F" w:rsidRPr="00D23C92">
        <w:rPr>
          <w:rFonts w:ascii="Arial" w:hAnsi="Arial" w:cs="Arial"/>
          <w:sz w:val="20"/>
          <w:szCs w:val="20"/>
        </w:rPr>
        <w:t xml:space="preserve"> Arial 8, normal.</w:t>
      </w:r>
      <w:r w:rsidR="006A6155" w:rsidRPr="00D23C92">
        <w:rPr>
          <w:rFonts w:ascii="Arial" w:hAnsi="Arial" w:cs="Arial"/>
          <w:sz w:val="20"/>
          <w:szCs w:val="20"/>
        </w:rPr>
        <w:t xml:space="preserve"> Las figuras se citarán en el cuerpo del texto. </w:t>
      </w:r>
    </w:p>
    <w:p w:rsidR="006C1CC6" w:rsidRPr="00D23C92" w:rsidRDefault="008C53AD" w:rsidP="0089465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 xml:space="preserve">Las tablas se insertarán en el cuerpo del texto ajustándose a la siguiente normativa: </w:t>
      </w:r>
      <w:r w:rsidRPr="00D23C92">
        <w:t xml:space="preserve">  </w:t>
      </w:r>
      <w:r w:rsidRPr="00D23C92">
        <w:rPr>
          <w:rFonts w:ascii="Arial" w:hAnsi="Arial" w:cs="Arial"/>
          <w:sz w:val="20"/>
          <w:szCs w:val="20"/>
        </w:rPr>
        <w:t xml:space="preserve">Número de la tabla: Este es el primer elemento visible de la tabla, comienza en mayúscula y termina con el número de la tabla. </w:t>
      </w:r>
      <w:r w:rsidR="00D23C92" w:rsidRPr="00D23C92">
        <w:rPr>
          <w:rFonts w:ascii="Arial" w:hAnsi="Arial" w:cs="Arial"/>
          <w:sz w:val="20"/>
          <w:szCs w:val="20"/>
        </w:rPr>
        <w:t>Por ejemplo:</w:t>
      </w:r>
      <w:r w:rsidRPr="00D23C92">
        <w:rPr>
          <w:rFonts w:ascii="Arial" w:hAnsi="Arial" w:cs="Arial"/>
          <w:sz w:val="20"/>
          <w:szCs w:val="20"/>
        </w:rPr>
        <w:t xml:space="preserve"> “Tabla 1”. Nombre de la tabla: Es el título de la tabla, debe ser corto, simple y descriptivo. Se escribe en cursiva. Tabla y contenido: La tabla debe estar formada solamente por 3 </w:t>
      </w:r>
      <w:r w:rsidR="00D23C92" w:rsidRPr="00D23C92">
        <w:rPr>
          <w:rFonts w:ascii="Arial" w:hAnsi="Arial" w:cs="Arial"/>
          <w:sz w:val="20"/>
          <w:szCs w:val="20"/>
        </w:rPr>
        <w:t>líneas</w:t>
      </w:r>
      <w:r w:rsidRPr="00D23C92">
        <w:rPr>
          <w:rFonts w:ascii="Arial" w:hAnsi="Arial" w:cs="Arial"/>
          <w:sz w:val="20"/>
          <w:szCs w:val="20"/>
        </w:rPr>
        <w:t xml:space="preserve"> horizontales, la superior, la inferior y una que separa la cabecera de los datos. Cada columna debe tener en la cabecera un título que describa los datos. Nota de la tabla: La nota va después de la </w:t>
      </w:r>
      <w:r w:rsidR="00D23C92" w:rsidRPr="00D23C92">
        <w:rPr>
          <w:rFonts w:ascii="Arial" w:hAnsi="Arial" w:cs="Arial"/>
          <w:sz w:val="20"/>
          <w:szCs w:val="20"/>
        </w:rPr>
        <w:t>línea</w:t>
      </w:r>
      <w:r w:rsidRPr="00D23C92">
        <w:rPr>
          <w:rFonts w:ascii="Arial" w:hAnsi="Arial" w:cs="Arial"/>
          <w:sz w:val="20"/>
          <w:szCs w:val="20"/>
        </w:rPr>
        <w:t xml:space="preserve"> inferior. Referenciar tabla.</w:t>
      </w:r>
    </w:p>
    <w:p w:rsidR="00D90D89" w:rsidRPr="00D23C92" w:rsidRDefault="004C5D7B" w:rsidP="0089465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>Siglas: En el caso de emplear siglas en el texto, tablas o figuras,</w:t>
      </w:r>
      <w:r w:rsidR="008C53AD" w:rsidRPr="00D23C92">
        <w:rPr>
          <w:rFonts w:ascii="Arial" w:hAnsi="Arial" w:cs="Arial"/>
          <w:sz w:val="20"/>
          <w:szCs w:val="20"/>
        </w:rPr>
        <w:t xml:space="preserve"> </w:t>
      </w:r>
      <w:r w:rsidRPr="00D23C92">
        <w:rPr>
          <w:rFonts w:ascii="Arial" w:hAnsi="Arial" w:cs="Arial"/>
          <w:sz w:val="20"/>
          <w:szCs w:val="20"/>
        </w:rPr>
        <w:t>se deben proporcionar las equivalencias completas de cada una de ellas en la primera vez que se empleen. En el caso de citar personajes reconocidos se deben colocar nombres y/o apellidos completos, nunca emplear abreviaturas.</w:t>
      </w:r>
      <w:r w:rsidR="00D90D89" w:rsidRPr="00D23C92">
        <w:rPr>
          <w:rFonts w:ascii="Arial" w:hAnsi="Arial" w:cs="Arial"/>
          <w:sz w:val="20"/>
          <w:szCs w:val="20"/>
        </w:rPr>
        <w:t xml:space="preserve"> </w:t>
      </w:r>
    </w:p>
    <w:p w:rsidR="006C1CC6" w:rsidRPr="00D23C92" w:rsidRDefault="006C1CC6" w:rsidP="0089465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 xml:space="preserve">Exigencia de originalidad. </w:t>
      </w:r>
      <w:r w:rsidR="009F7C66">
        <w:rPr>
          <w:rFonts w:ascii="Arial" w:hAnsi="Arial" w:cs="Arial"/>
          <w:sz w:val="20"/>
          <w:szCs w:val="20"/>
        </w:rPr>
        <w:t>Adjuntar a</w:t>
      </w:r>
      <w:r w:rsidR="00D23C92" w:rsidRPr="00D23C92">
        <w:rPr>
          <w:rFonts w:ascii="Arial" w:hAnsi="Arial" w:cs="Arial"/>
          <w:sz w:val="20"/>
          <w:szCs w:val="20"/>
        </w:rPr>
        <w:t xml:space="preserve">l trabajo presentado la Carta del autor que manifiesta la originalidad del trabajo postulado. </w:t>
      </w:r>
      <w:r w:rsidRPr="00D23C92">
        <w:rPr>
          <w:rFonts w:ascii="Arial" w:hAnsi="Arial" w:cs="Arial"/>
          <w:sz w:val="20"/>
          <w:szCs w:val="20"/>
        </w:rPr>
        <w:t xml:space="preserve"> </w:t>
      </w:r>
    </w:p>
    <w:p w:rsidR="0076464F" w:rsidRPr="00D23C92" w:rsidRDefault="0076464F" w:rsidP="0089465D">
      <w:pPr>
        <w:pStyle w:val="Prrafode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76464F" w:rsidRPr="00D23C92" w:rsidRDefault="0076464F" w:rsidP="0089465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3C92">
        <w:rPr>
          <w:rFonts w:ascii="Arial" w:hAnsi="Arial" w:cs="Arial"/>
          <w:b/>
          <w:sz w:val="20"/>
          <w:szCs w:val="20"/>
        </w:rPr>
        <w:t>Generalidades</w:t>
      </w:r>
    </w:p>
    <w:p w:rsidR="0076464F" w:rsidRPr="00D23C92" w:rsidRDefault="0076464F" w:rsidP="0089465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6464F" w:rsidRPr="00D23C92" w:rsidRDefault="0076464F" w:rsidP="008946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 xml:space="preserve">Para facilitar su edición, los artículos completos deben ser enviados en un solo archivo formato Word con imágenes incluidas según se detalla más arriba, y además, deben enviar un archivo ZIP o RAR donde solamente se incluyan </w:t>
      </w:r>
      <w:r w:rsidR="003F4736">
        <w:rPr>
          <w:rFonts w:ascii="Arial" w:hAnsi="Arial" w:cs="Arial"/>
          <w:sz w:val="20"/>
          <w:szCs w:val="20"/>
        </w:rPr>
        <w:t xml:space="preserve">por separado </w:t>
      </w:r>
      <w:r w:rsidRPr="00D23C92">
        <w:rPr>
          <w:rFonts w:ascii="Arial" w:hAnsi="Arial" w:cs="Arial"/>
          <w:sz w:val="20"/>
          <w:szCs w:val="20"/>
        </w:rPr>
        <w:t xml:space="preserve">las imágenes, gráficos, etc. en formato JPG o TIF a los siguientes E-Mails: </w:t>
      </w:r>
      <w:hyperlink r:id="rId8" w:history="1">
        <w:r w:rsidR="00DF5BB3" w:rsidRPr="00CB025C">
          <w:rPr>
            <w:rStyle w:val="Hipervnculo"/>
            <w:rFonts w:ascii="Arial" w:hAnsi="Arial" w:cs="Arial"/>
            <w:sz w:val="20"/>
            <w:szCs w:val="20"/>
          </w:rPr>
          <w:t>devedoya@gmail.com</w:t>
        </w:r>
      </w:hyperlink>
      <w:r w:rsidRPr="00D23C92">
        <w:rPr>
          <w:rFonts w:ascii="Arial" w:hAnsi="Arial" w:cs="Arial"/>
          <w:sz w:val="20"/>
          <w:szCs w:val="20"/>
        </w:rPr>
        <w:t xml:space="preserve"> </w:t>
      </w:r>
      <w:r w:rsidR="00D23C92" w:rsidRPr="00D23C92">
        <w:rPr>
          <w:rFonts w:ascii="Arial" w:hAnsi="Arial" w:cs="Arial"/>
          <w:sz w:val="20"/>
          <w:szCs w:val="20"/>
        </w:rPr>
        <w:t xml:space="preserve">y/o </w:t>
      </w:r>
      <w:hyperlink r:id="rId9" w:history="1">
        <w:r w:rsidR="001B1E6A" w:rsidRPr="00CB025C">
          <w:rPr>
            <w:rStyle w:val="Hipervnculo"/>
            <w:rFonts w:ascii="Arial" w:hAnsi="Arial" w:cs="Arial"/>
            <w:sz w:val="20"/>
            <w:szCs w:val="20"/>
          </w:rPr>
          <w:t>claudiapilar2014@gmail.com</w:t>
        </w:r>
      </w:hyperlink>
      <w:r w:rsidR="00D23C92" w:rsidRPr="00D23C92">
        <w:rPr>
          <w:rFonts w:ascii="Arial" w:hAnsi="Arial" w:cs="Arial"/>
          <w:sz w:val="20"/>
          <w:szCs w:val="20"/>
        </w:rPr>
        <w:t xml:space="preserve"> </w:t>
      </w:r>
    </w:p>
    <w:p w:rsidR="003F4736" w:rsidRDefault="0076464F" w:rsidP="008946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>En “Asunto” del mensaje, deberá indicarse “Revista ARQUITECNO – Artículo”. Deberán además indicar si pertenecen a la Red</w:t>
      </w:r>
      <w:r w:rsidR="00D23C92" w:rsidRPr="00D23C92">
        <w:rPr>
          <w:rFonts w:ascii="Arial" w:hAnsi="Arial" w:cs="Arial"/>
          <w:sz w:val="20"/>
          <w:szCs w:val="20"/>
        </w:rPr>
        <w:t xml:space="preserve"> Regional de Tecnología en Arquitectura.</w:t>
      </w:r>
      <w:r w:rsidRPr="00D23C92">
        <w:rPr>
          <w:rFonts w:ascii="Arial" w:hAnsi="Arial" w:cs="Arial"/>
          <w:sz w:val="20"/>
          <w:szCs w:val="20"/>
        </w:rPr>
        <w:t xml:space="preserve"> </w:t>
      </w:r>
    </w:p>
    <w:p w:rsidR="003F4736" w:rsidRDefault="003F4736" w:rsidP="008946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6464F" w:rsidRPr="00D23C92" w:rsidRDefault="0076464F" w:rsidP="008946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>Podrán presentar artículos:</w:t>
      </w:r>
    </w:p>
    <w:p w:rsidR="0076464F" w:rsidRPr="00D23C92" w:rsidRDefault="0076464F" w:rsidP="008946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6464F" w:rsidRPr="00D23C92" w:rsidRDefault="0076464F" w:rsidP="0089465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>Docentes, investigadores y extensionistas adherentes a la Red Regional de Tecnología en Arquitectura, en temas referidos al Área de Tecnología y de disciplinas vinculadas de las Facultades de Arquitectura del ARQUISUR.</w:t>
      </w:r>
    </w:p>
    <w:p w:rsidR="0076464F" w:rsidRPr="00D23C92" w:rsidRDefault="0076464F" w:rsidP="0089465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 xml:space="preserve">Docentes, investigadores y extensionistas del Área de Tecnología y disciplinas vinculadas de Instituciones en donde se desarrollen acciones relacionadas con las áreas enunciadas. En estos casos, el/los autor/es deberán ser presentados por un adherente a la Red Regional de Tecnología en Arquitectura. </w:t>
      </w:r>
    </w:p>
    <w:p w:rsidR="0076464F" w:rsidRPr="00D23C92" w:rsidRDefault="0076464F" w:rsidP="0089465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>Alumnos que participen en carácter de becarios, o pasantes en Proyectos de Investigación incluidos en sistemas formales de Investigación. En este caso el artículo deberá contar con el aval del Director de la Beca o del Proyecto, debiendo éste pertenecer a la Red.</w:t>
      </w:r>
    </w:p>
    <w:p w:rsidR="0076464F" w:rsidRPr="00D23C92" w:rsidRDefault="0076464F" w:rsidP="0089465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>Alumnos que estén realizando Trabajos Finales de carrera o Tesis de Graduación vinculados con la temática del Área Tecnológica. El artículo deberá contar con el aval del Director del Trabajo Final o de la Tesis de Graduación, debiendo éste pertenecer a la Red.</w:t>
      </w:r>
    </w:p>
    <w:p w:rsidR="0076464F" w:rsidRPr="00D23C92" w:rsidRDefault="0076464F" w:rsidP="0089465D">
      <w:pPr>
        <w:pStyle w:val="Prrafode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76464F" w:rsidRPr="00D23C92" w:rsidRDefault="0076464F" w:rsidP="0089465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C5D7B" w:rsidRPr="00D23C92" w:rsidRDefault="004C5D7B" w:rsidP="008946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Style w:val="Textoennegrita"/>
          <w:rFonts w:ascii="Arial" w:hAnsi="Arial" w:cs="Arial"/>
          <w:sz w:val="20"/>
          <w:szCs w:val="20"/>
        </w:rPr>
        <w:t>FORMA DE ARBITRAJE</w:t>
      </w:r>
      <w:r w:rsidRPr="00D23C92">
        <w:rPr>
          <w:rFonts w:ascii="Arial" w:hAnsi="Arial" w:cs="Arial"/>
          <w:sz w:val="20"/>
          <w:szCs w:val="20"/>
        </w:rPr>
        <w:t> </w:t>
      </w:r>
    </w:p>
    <w:p w:rsidR="004C5D7B" w:rsidRPr="00D23C92" w:rsidRDefault="004C5D7B" w:rsidP="008946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>La publicación realiza una revisión de artículos por pares expertos en el mismo campo de estudio según el procedimiento conocido como </w:t>
      </w:r>
      <w:r w:rsidRPr="00D23C92">
        <w:rPr>
          <w:rStyle w:val="Textoennegrita"/>
          <w:rFonts w:ascii="Arial" w:hAnsi="Arial" w:cs="Arial"/>
          <w:sz w:val="20"/>
          <w:szCs w:val="20"/>
        </w:rPr>
        <w:t>Revisión Doble Ciego</w:t>
      </w:r>
      <w:r w:rsidRPr="00D23C92">
        <w:rPr>
          <w:rFonts w:ascii="Arial" w:hAnsi="Arial" w:cs="Arial"/>
          <w:sz w:val="20"/>
          <w:szCs w:val="20"/>
        </w:rPr>
        <w:t> (</w:t>
      </w:r>
      <w:proofErr w:type="spellStart"/>
      <w:r w:rsidRPr="00D23C92">
        <w:rPr>
          <w:rStyle w:val="nfasis"/>
          <w:rFonts w:ascii="Arial" w:hAnsi="Arial" w:cs="Arial"/>
          <w:sz w:val="20"/>
          <w:szCs w:val="20"/>
        </w:rPr>
        <w:t>Double-blind</w:t>
      </w:r>
      <w:proofErr w:type="spellEnd"/>
      <w:r w:rsidRPr="00D23C92">
        <w:rPr>
          <w:rStyle w:val="nfasis"/>
          <w:rFonts w:ascii="Arial" w:hAnsi="Arial" w:cs="Arial"/>
          <w:sz w:val="20"/>
          <w:szCs w:val="20"/>
        </w:rPr>
        <w:t xml:space="preserve"> </w:t>
      </w:r>
      <w:proofErr w:type="spellStart"/>
      <w:r w:rsidRPr="00D23C92">
        <w:rPr>
          <w:rStyle w:val="nfasis"/>
          <w:rFonts w:ascii="Arial" w:hAnsi="Arial" w:cs="Arial"/>
          <w:sz w:val="20"/>
          <w:szCs w:val="20"/>
        </w:rPr>
        <w:t>review</w:t>
      </w:r>
      <w:proofErr w:type="spellEnd"/>
      <w:r w:rsidRPr="00D23C92">
        <w:rPr>
          <w:rFonts w:ascii="Arial" w:hAnsi="Arial" w:cs="Arial"/>
          <w:sz w:val="20"/>
          <w:szCs w:val="20"/>
        </w:rPr>
        <w:t>) según el cual los evaluadores y los autores no se conocen recíprocamente, conservándose el anonimato durante todo el proceso editorial.</w:t>
      </w:r>
    </w:p>
    <w:p w:rsidR="00BB4433" w:rsidRPr="00D23C92" w:rsidRDefault="004C5D7B" w:rsidP="008946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>Los revisores disponen de un Formulario de Revisión remitido por el Director Editorial Técnico a efectos de pautar su labor.</w:t>
      </w:r>
    </w:p>
    <w:p w:rsidR="00BB4433" w:rsidRPr="00D23C92" w:rsidRDefault="004C5D7B" w:rsidP="008946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>Los pares evaluadores del Comité Científico deben concluir su revisión con alguno de los siguientes conceptos:</w:t>
      </w:r>
    </w:p>
    <w:p w:rsidR="00BB4433" w:rsidRPr="00D23C92" w:rsidRDefault="004C5D7B" w:rsidP="0089465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Style w:val="Textoennegrita"/>
          <w:rFonts w:ascii="Arial" w:hAnsi="Arial" w:cs="Arial"/>
          <w:sz w:val="20"/>
          <w:szCs w:val="20"/>
        </w:rPr>
        <w:t>Aceptar el artículo</w:t>
      </w:r>
      <w:r w:rsidRPr="00D23C92">
        <w:rPr>
          <w:rFonts w:ascii="Arial" w:hAnsi="Arial" w:cs="Arial"/>
          <w:sz w:val="20"/>
          <w:szCs w:val="20"/>
        </w:rPr>
        <w:t> tal como fue entregado.</w:t>
      </w:r>
    </w:p>
    <w:p w:rsidR="00BB4433" w:rsidRPr="00D23C92" w:rsidRDefault="004C5D7B" w:rsidP="0089465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Style w:val="Textoennegrita"/>
          <w:rFonts w:ascii="Arial" w:hAnsi="Arial" w:cs="Arial"/>
          <w:sz w:val="20"/>
          <w:szCs w:val="20"/>
        </w:rPr>
        <w:t>Aceptar el artículo con algunas modificaciones</w:t>
      </w:r>
      <w:r w:rsidRPr="00D23C92">
        <w:rPr>
          <w:rFonts w:ascii="Arial" w:hAnsi="Arial" w:cs="Arial"/>
          <w:sz w:val="20"/>
          <w:szCs w:val="20"/>
        </w:rPr>
        <w:t>: se podrá sugerir la forma más adecuada para una nueva presentación, para lo cual el autor puede o no aceptar las observaciones, de ser así se le conferirá un plazo para realizar los ajustes pertinentes.</w:t>
      </w:r>
    </w:p>
    <w:p w:rsidR="004C5D7B" w:rsidRPr="00D23C92" w:rsidRDefault="004C5D7B" w:rsidP="0089465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Style w:val="Textoennegrita"/>
          <w:rFonts w:ascii="Arial" w:hAnsi="Arial" w:cs="Arial"/>
          <w:sz w:val="20"/>
          <w:szCs w:val="20"/>
        </w:rPr>
        <w:t>Rechazar el artículo</w:t>
      </w:r>
      <w:r w:rsidRPr="00D23C92">
        <w:rPr>
          <w:rFonts w:ascii="Arial" w:hAnsi="Arial" w:cs="Arial"/>
          <w:sz w:val="20"/>
          <w:szCs w:val="20"/>
        </w:rPr>
        <w:t>: en este caso se entregará al autor un comunicado junto con las planillas de evaluación de los árbitros explicitando la razón de la negación de su publicación.</w:t>
      </w:r>
    </w:p>
    <w:p w:rsidR="004C5D7B" w:rsidRPr="00D23C92" w:rsidRDefault="004C5D7B" w:rsidP="008946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>Finalizado el proceso de evaluación, el Director Editorial Técnico comunicará el resultado a los autores e informará al Comité Editorial la nómina de artículos que recibieron al menos </w:t>
      </w:r>
      <w:r w:rsidRPr="00D23C92">
        <w:rPr>
          <w:rStyle w:val="Textoennegrita"/>
          <w:rFonts w:ascii="Arial" w:hAnsi="Arial" w:cs="Arial"/>
          <w:sz w:val="20"/>
          <w:szCs w:val="20"/>
        </w:rPr>
        <w:t>dos evaluaciones favorables</w:t>
      </w:r>
      <w:r w:rsidRPr="00D23C92">
        <w:rPr>
          <w:rFonts w:ascii="Arial" w:hAnsi="Arial" w:cs="Arial"/>
          <w:sz w:val="20"/>
          <w:szCs w:val="20"/>
        </w:rPr>
        <w:t> y que, por lo tanto , en condiciones de ser publicados.</w:t>
      </w:r>
    </w:p>
    <w:p w:rsidR="00BB4433" w:rsidRPr="00D23C92" w:rsidRDefault="00BB4433" w:rsidP="008946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sz w:val="20"/>
          <w:szCs w:val="20"/>
        </w:rPr>
      </w:pPr>
    </w:p>
    <w:p w:rsidR="00BB4433" w:rsidRPr="00D23C92" w:rsidRDefault="004C5D7B" w:rsidP="008946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Style w:val="Textoennegrita"/>
          <w:rFonts w:ascii="Arial" w:hAnsi="Arial" w:cs="Arial"/>
          <w:sz w:val="20"/>
          <w:szCs w:val="20"/>
        </w:rPr>
        <w:t>PUBLICACIÓN</w:t>
      </w:r>
      <w:bookmarkStart w:id="0" w:name="_GoBack"/>
      <w:bookmarkEnd w:id="0"/>
      <w:r w:rsidRPr="00D23C92">
        <w:rPr>
          <w:rFonts w:ascii="Arial" w:hAnsi="Arial" w:cs="Arial"/>
          <w:sz w:val="20"/>
          <w:szCs w:val="20"/>
        </w:rPr>
        <w:br/>
      </w:r>
    </w:p>
    <w:p w:rsidR="004C5D7B" w:rsidRPr="00D23C92" w:rsidRDefault="004C5D7B" w:rsidP="008946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 xml:space="preserve">El Comité Editorial es el órgano que decide en última instancia cuáles son los artículos a publicar. El Editor procederá a dar curso al proceso de edición técnica de los artículos seleccionados por el Comité Editorial. Este proceso incluye: revisión orto-tipográfica y de estilo del conjunto del material a publicar y del correspondiente diseño gráfico para lectura en pantalla y descarga en </w:t>
      </w:r>
      <w:proofErr w:type="spellStart"/>
      <w:r w:rsidRPr="00D23C92">
        <w:rPr>
          <w:rFonts w:ascii="Arial" w:hAnsi="Arial" w:cs="Arial"/>
          <w:sz w:val="20"/>
          <w:szCs w:val="20"/>
        </w:rPr>
        <w:t>pdf</w:t>
      </w:r>
      <w:proofErr w:type="spellEnd"/>
      <w:r w:rsidRPr="00D23C92">
        <w:rPr>
          <w:rFonts w:ascii="Arial" w:hAnsi="Arial" w:cs="Arial"/>
          <w:sz w:val="20"/>
          <w:szCs w:val="20"/>
        </w:rPr>
        <w:t xml:space="preserve">. Finalizado el proceso de maquetación y revisión, la revista se publica en su web oficial arq.unne.edu.ar. </w:t>
      </w:r>
    </w:p>
    <w:p w:rsidR="004C5D7B" w:rsidRPr="00D23C92" w:rsidRDefault="004C5D7B" w:rsidP="0089465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Style w:val="Textoennegrita"/>
          <w:rFonts w:ascii="Arial" w:hAnsi="Arial" w:cs="Arial"/>
          <w:sz w:val="20"/>
          <w:szCs w:val="20"/>
        </w:rPr>
        <w:t>Primer número del año:</w:t>
      </w:r>
      <w:r w:rsidRPr="00D23C92">
        <w:rPr>
          <w:rFonts w:ascii="Arial" w:hAnsi="Arial" w:cs="Arial"/>
          <w:sz w:val="20"/>
          <w:szCs w:val="20"/>
        </w:rPr>
        <w:t> 2</w:t>
      </w:r>
      <w:r w:rsidR="00D23C92" w:rsidRPr="00D23C92">
        <w:rPr>
          <w:rFonts w:ascii="Arial" w:hAnsi="Arial" w:cs="Arial"/>
          <w:sz w:val="20"/>
          <w:szCs w:val="20"/>
        </w:rPr>
        <w:t>5</w:t>
      </w:r>
      <w:r w:rsidRPr="00D23C92">
        <w:rPr>
          <w:rFonts w:ascii="Arial" w:hAnsi="Arial" w:cs="Arial"/>
          <w:sz w:val="20"/>
          <w:szCs w:val="20"/>
        </w:rPr>
        <w:t xml:space="preserve"> de junio </w:t>
      </w:r>
    </w:p>
    <w:p w:rsidR="004C5D7B" w:rsidRPr="00D23C92" w:rsidRDefault="004C5D7B" w:rsidP="0089465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Style w:val="Textoennegrita"/>
          <w:rFonts w:ascii="Arial" w:hAnsi="Arial" w:cs="Arial"/>
          <w:sz w:val="20"/>
          <w:szCs w:val="20"/>
        </w:rPr>
        <w:t>Segundo número del año:</w:t>
      </w:r>
      <w:r w:rsidRPr="00D23C92">
        <w:rPr>
          <w:rFonts w:ascii="Arial" w:hAnsi="Arial" w:cs="Arial"/>
          <w:sz w:val="20"/>
          <w:szCs w:val="20"/>
        </w:rPr>
        <w:t> 2</w:t>
      </w:r>
      <w:r w:rsidR="00D23C92" w:rsidRPr="00D23C92">
        <w:rPr>
          <w:rFonts w:ascii="Arial" w:hAnsi="Arial" w:cs="Arial"/>
          <w:sz w:val="20"/>
          <w:szCs w:val="20"/>
        </w:rPr>
        <w:t>5</w:t>
      </w:r>
      <w:r w:rsidRPr="00D23C92">
        <w:rPr>
          <w:rFonts w:ascii="Arial" w:hAnsi="Arial" w:cs="Arial"/>
          <w:sz w:val="20"/>
          <w:szCs w:val="20"/>
        </w:rPr>
        <w:t xml:space="preserve"> de noviembre</w:t>
      </w:r>
    </w:p>
    <w:p w:rsidR="004C5D7B" w:rsidRPr="00D23C92" w:rsidRDefault="004C5D7B" w:rsidP="008946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6464F" w:rsidRPr="00D23C92" w:rsidRDefault="0076464F" w:rsidP="008946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6464F" w:rsidRPr="00D23C92" w:rsidRDefault="003F4736" w:rsidP="0089465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3C92">
        <w:rPr>
          <w:rFonts w:ascii="Arial" w:hAnsi="Arial" w:cs="Arial"/>
          <w:b/>
          <w:sz w:val="20"/>
          <w:szCs w:val="20"/>
        </w:rPr>
        <w:t>CRONOGRAMA PARA LA PRESENTACIÓN DE ARTÍCULOS</w:t>
      </w:r>
    </w:p>
    <w:p w:rsidR="0076464F" w:rsidRPr="00D23C92" w:rsidRDefault="0076464F" w:rsidP="008946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6464F" w:rsidRPr="00D23C92" w:rsidRDefault="0076464F" w:rsidP="008946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 xml:space="preserve">Para la edición del mes de </w:t>
      </w:r>
      <w:r w:rsidRPr="00D23C92">
        <w:rPr>
          <w:rFonts w:ascii="Arial" w:hAnsi="Arial" w:cs="Arial"/>
          <w:b/>
          <w:sz w:val="20"/>
          <w:szCs w:val="20"/>
        </w:rPr>
        <w:t>Junio</w:t>
      </w:r>
      <w:r w:rsidRPr="00D23C92">
        <w:rPr>
          <w:rFonts w:ascii="Arial" w:hAnsi="Arial" w:cs="Arial"/>
          <w:sz w:val="20"/>
          <w:szCs w:val="20"/>
        </w:rPr>
        <w:t xml:space="preserve">: </w:t>
      </w:r>
    </w:p>
    <w:p w:rsidR="0076464F" w:rsidRPr="00D23C92" w:rsidRDefault="0076464F" w:rsidP="008946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6464F" w:rsidRPr="00D23C92" w:rsidRDefault="00227CFA" w:rsidP="0089465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Hasta el 31 de m</w:t>
      </w:r>
      <w:r w:rsidR="0076464F" w:rsidRPr="00D23C92">
        <w:rPr>
          <w:rFonts w:ascii="Arial" w:hAnsi="Arial" w:cs="Arial"/>
          <w:sz w:val="20"/>
          <w:szCs w:val="20"/>
        </w:rPr>
        <w:t>arzo de cada año: presentación de los artículos que serán publicados en la edición de Junio.</w:t>
      </w:r>
      <w:r w:rsidR="007A08B3">
        <w:rPr>
          <w:rFonts w:ascii="Arial" w:hAnsi="Arial" w:cs="Arial"/>
          <w:sz w:val="20"/>
          <w:szCs w:val="20"/>
        </w:rPr>
        <w:t xml:space="preserve"> </w:t>
      </w:r>
      <w:r w:rsidR="007A08B3" w:rsidRPr="007A08B3">
        <w:rPr>
          <w:rFonts w:ascii="Arial" w:hAnsi="Arial" w:cs="Arial"/>
          <w:b/>
          <w:color w:val="00B050"/>
          <w:sz w:val="20"/>
          <w:szCs w:val="20"/>
        </w:rPr>
        <w:t>PRORROGRADO AL 30 DE ABRIL.</w:t>
      </w:r>
    </w:p>
    <w:p w:rsidR="0076464F" w:rsidRPr="007A08B3" w:rsidRDefault="0076464F" w:rsidP="0089465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B050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 xml:space="preserve">15 de </w:t>
      </w:r>
      <w:r w:rsidR="00227CFA">
        <w:rPr>
          <w:rFonts w:ascii="Arial" w:hAnsi="Arial" w:cs="Arial"/>
          <w:sz w:val="20"/>
          <w:szCs w:val="20"/>
        </w:rPr>
        <w:t>a</w:t>
      </w:r>
      <w:r w:rsidRPr="00D23C92">
        <w:rPr>
          <w:rFonts w:ascii="Arial" w:hAnsi="Arial" w:cs="Arial"/>
          <w:sz w:val="20"/>
          <w:szCs w:val="20"/>
        </w:rPr>
        <w:t>bril: notificación de la aceptación del artículo para su publicación en la edición de ARQUITECNO del mes de Junio.</w:t>
      </w:r>
      <w:r w:rsidR="007A08B3">
        <w:rPr>
          <w:rFonts w:ascii="Arial" w:hAnsi="Arial" w:cs="Arial"/>
          <w:sz w:val="20"/>
          <w:szCs w:val="20"/>
        </w:rPr>
        <w:t xml:space="preserve"> </w:t>
      </w:r>
      <w:r w:rsidR="007A08B3" w:rsidRPr="007A08B3">
        <w:rPr>
          <w:rFonts w:ascii="Arial" w:hAnsi="Arial" w:cs="Arial"/>
          <w:b/>
          <w:color w:val="00B050"/>
          <w:sz w:val="20"/>
          <w:szCs w:val="20"/>
        </w:rPr>
        <w:t>PRORROGADO AL 15 DE MAYO.</w:t>
      </w:r>
      <w:r w:rsidR="007A08B3" w:rsidRPr="007A08B3">
        <w:rPr>
          <w:rFonts w:ascii="Arial" w:hAnsi="Arial" w:cs="Arial"/>
          <w:color w:val="00B050"/>
          <w:sz w:val="20"/>
          <w:szCs w:val="20"/>
        </w:rPr>
        <w:t xml:space="preserve"> </w:t>
      </w:r>
    </w:p>
    <w:p w:rsidR="0076464F" w:rsidRPr="007A08B3" w:rsidRDefault="0076464F" w:rsidP="0089465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 xml:space="preserve">En caso de tener observaciones por parte del Comité Académico, éstas deberán ser resueltas para su presentación definitiva antes del 15 de </w:t>
      </w:r>
      <w:r w:rsidR="00227CFA">
        <w:rPr>
          <w:rFonts w:ascii="Arial" w:hAnsi="Arial" w:cs="Arial"/>
          <w:sz w:val="20"/>
          <w:szCs w:val="20"/>
        </w:rPr>
        <w:t>m</w:t>
      </w:r>
      <w:r w:rsidRPr="00D23C92">
        <w:rPr>
          <w:rFonts w:ascii="Arial" w:hAnsi="Arial" w:cs="Arial"/>
          <w:sz w:val="20"/>
          <w:szCs w:val="20"/>
        </w:rPr>
        <w:t>ayo.</w:t>
      </w:r>
      <w:r w:rsidR="007A08B3">
        <w:rPr>
          <w:rFonts w:ascii="Arial" w:hAnsi="Arial" w:cs="Arial"/>
          <w:sz w:val="20"/>
          <w:szCs w:val="20"/>
        </w:rPr>
        <w:t xml:space="preserve"> </w:t>
      </w:r>
      <w:r w:rsidR="007A08B3" w:rsidRPr="007A08B3">
        <w:rPr>
          <w:rFonts w:ascii="Arial" w:hAnsi="Arial" w:cs="Arial"/>
          <w:b/>
          <w:color w:val="00B050"/>
          <w:sz w:val="20"/>
          <w:szCs w:val="20"/>
        </w:rPr>
        <w:t>PRORROGADO AL 31 DE MAYO.</w:t>
      </w:r>
    </w:p>
    <w:p w:rsidR="0076464F" w:rsidRPr="00D23C92" w:rsidRDefault="0076464F" w:rsidP="0089465D">
      <w:p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76464F" w:rsidRPr="00D23C92" w:rsidRDefault="0076464F" w:rsidP="008946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 xml:space="preserve">Para la edición del mes de </w:t>
      </w:r>
      <w:r w:rsidRPr="00D23C92">
        <w:rPr>
          <w:rFonts w:ascii="Arial" w:hAnsi="Arial" w:cs="Arial"/>
          <w:b/>
          <w:sz w:val="20"/>
          <w:szCs w:val="20"/>
        </w:rPr>
        <w:t>Noviembre</w:t>
      </w:r>
      <w:r w:rsidRPr="00D23C92">
        <w:rPr>
          <w:rFonts w:ascii="Arial" w:hAnsi="Arial" w:cs="Arial"/>
          <w:sz w:val="20"/>
          <w:szCs w:val="20"/>
        </w:rPr>
        <w:t>:</w:t>
      </w:r>
    </w:p>
    <w:p w:rsidR="0076464F" w:rsidRPr="00D23C92" w:rsidRDefault="0076464F" w:rsidP="0089465D">
      <w:p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76464F" w:rsidRPr="00D23C92" w:rsidRDefault="0076464F" w:rsidP="0089465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 xml:space="preserve">Hasta el 31 de </w:t>
      </w:r>
      <w:r w:rsidR="00227CFA">
        <w:rPr>
          <w:rFonts w:ascii="Arial" w:hAnsi="Arial" w:cs="Arial"/>
          <w:sz w:val="20"/>
          <w:szCs w:val="20"/>
        </w:rPr>
        <w:t>a</w:t>
      </w:r>
      <w:r w:rsidRPr="00D23C92">
        <w:rPr>
          <w:rFonts w:ascii="Arial" w:hAnsi="Arial" w:cs="Arial"/>
          <w:sz w:val="20"/>
          <w:szCs w:val="20"/>
        </w:rPr>
        <w:t xml:space="preserve">gosto de cada año: presentación de los artículos que serán publicados en la edición de </w:t>
      </w:r>
      <w:r w:rsidR="00227CFA">
        <w:rPr>
          <w:rFonts w:ascii="Arial" w:hAnsi="Arial" w:cs="Arial"/>
          <w:sz w:val="20"/>
          <w:szCs w:val="20"/>
        </w:rPr>
        <w:t>n</w:t>
      </w:r>
      <w:r w:rsidRPr="00D23C92">
        <w:rPr>
          <w:rFonts w:ascii="Arial" w:hAnsi="Arial" w:cs="Arial"/>
          <w:sz w:val="20"/>
          <w:szCs w:val="20"/>
        </w:rPr>
        <w:t>oviembre.</w:t>
      </w:r>
    </w:p>
    <w:p w:rsidR="0076464F" w:rsidRPr="00D23C92" w:rsidRDefault="0076464F" w:rsidP="0089465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 xml:space="preserve">15 de </w:t>
      </w:r>
      <w:r w:rsidR="00227CFA">
        <w:rPr>
          <w:rFonts w:ascii="Arial" w:hAnsi="Arial" w:cs="Arial"/>
          <w:sz w:val="20"/>
          <w:szCs w:val="20"/>
        </w:rPr>
        <w:t>s</w:t>
      </w:r>
      <w:r w:rsidRPr="00D23C92">
        <w:rPr>
          <w:rFonts w:ascii="Arial" w:hAnsi="Arial" w:cs="Arial"/>
          <w:sz w:val="20"/>
          <w:szCs w:val="20"/>
        </w:rPr>
        <w:t>eptiembre: notificación de la aceptación del artículo para su publicación.</w:t>
      </w:r>
    </w:p>
    <w:p w:rsidR="0076464F" w:rsidRPr="00D23C92" w:rsidRDefault="0076464F" w:rsidP="0089465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3C92">
        <w:rPr>
          <w:rFonts w:ascii="Arial" w:hAnsi="Arial" w:cs="Arial"/>
          <w:sz w:val="20"/>
          <w:szCs w:val="20"/>
        </w:rPr>
        <w:t xml:space="preserve">En caso de tener observaciones por parte del Comité Académico, éstas deberán ser resueltas para su presentación definitiva antes del 15 de </w:t>
      </w:r>
      <w:r w:rsidR="00227CFA">
        <w:rPr>
          <w:rFonts w:ascii="Arial" w:hAnsi="Arial" w:cs="Arial"/>
          <w:sz w:val="20"/>
          <w:szCs w:val="20"/>
        </w:rPr>
        <w:t>o</w:t>
      </w:r>
      <w:r w:rsidRPr="00D23C92">
        <w:rPr>
          <w:rFonts w:ascii="Arial" w:hAnsi="Arial" w:cs="Arial"/>
          <w:sz w:val="20"/>
          <w:szCs w:val="20"/>
        </w:rPr>
        <w:t>ctubre.</w:t>
      </w:r>
    </w:p>
    <w:p w:rsidR="0076464F" w:rsidRPr="00D23C92" w:rsidRDefault="0076464F" w:rsidP="008946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76464F" w:rsidRPr="00D23C92" w:rsidSect="007A08B3">
      <w:headerReference w:type="default" r:id="rId10"/>
      <w:pgSz w:w="12240" w:h="15840"/>
      <w:pgMar w:top="1701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971" w:rsidRDefault="00F95971" w:rsidP="0089465D">
      <w:pPr>
        <w:spacing w:after="0" w:line="240" w:lineRule="auto"/>
      </w:pPr>
      <w:r>
        <w:separator/>
      </w:r>
    </w:p>
  </w:endnote>
  <w:endnote w:type="continuationSeparator" w:id="0">
    <w:p w:rsidR="00F95971" w:rsidRDefault="00F95971" w:rsidP="0089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971" w:rsidRDefault="00F95971" w:rsidP="0089465D">
      <w:pPr>
        <w:spacing w:after="0" w:line="240" w:lineRule="auto"/>
      </w:pPr>
      <w:r>
        <w:separator/>
      </w:r>
    </w:p>
  </w:footnote>
  <w:footnote w:type="continuationSeparator" w:id="0">
    <w:p w:rsidR="00F95971" w:rsidRDefault="00F95971" w:rsidP="0089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5D" w:rsidRDefault="0089465D">
    <w:pPr>
      <w:pStyle w:val="Encabezado"/>
    </w:pPr>
    <w:r>
      <w:rPr>
        <w:noProof/>
        <w:lang w:eastAsia="es-AR"/>
      </w:rPr>
      <w:drawing>
        <wp:inline distT="0" distB="0" distL="0" distR="0" wp14:anchorId="6219B575" wp14:editId="0F53436A">
          <wp:extent cx="5612130" cy="467360"/>
          <wp:effectExtent l="0" t="0" r="7620" b="889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46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314"/>
    <w:multiLevelType w:val="hybridMultilevel"/>
    <w:tmpl w:val="25405A04"/>
    <w:lvl w:ilvl="0" w:tplc="9ED4A3DE">
      <w:start w:val="1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15620CFB"/>
    <w:multiLevelType w:val="hybridMultilevel"/>
    <w:tmpl w:val="39802F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85A39"/>
    <w:multiLevelType w:val="hybridMultilevel"/>
    <w:tmpl w:val="25BCE55C"/>
    <w:lvl w:ilvl="0" w:tplc="2C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5501465E"/>
    <w:multiLevelType w:val="hybridMultilevel"/>
    <w:tmpl w:val="81BEC87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78055D"/>
    <w:multiLevelType w:val="hybridMultilevel"/>
    <w:tmpl w:val="EB8AC47C"/>
    <w:lvl w:ilvl="0" w:tplc="9ED4A3DE">
      <w:start w:val="1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4F"/>
    <w:rsid w:val="00075581"/>
    <w:rsid w:val="001B1E6A"/>
    <w:rsid w:val="00227CFA"/>
    <w:rsid w:val="0037264F"/>
    <w:rsid w:val="003F4736"/>
    <w:rsid w:val="004C5D7B"/>
    <w:rsid w:val="006A6155"/>
    <w:rsid w:val="006C1CC6"/>
    <w:rsid w:val="00750A7B"/>
    <w:rsid w:val="0076464F"/>
    <w:rsid w:val="00772161"/>
    <w:rsid w:val="0077662C"/>
    <w:rsid w:val="007A08B3"/>
    <w:rsid w:val="0089465D"/>
    <w:rsid w:val="008C53AD"/>
    <w:rsid w:val="009F7C66"/>
    <w:rsid w:val="00BB4433"/>
    <w:rsid w:val="00C211F6"/>
    <w:rsid w:val="00D23C92"/>
    <w:rsid w:val="00D90D89"/>
    <w:rsid w:val="00DF5BB3"/>
    <w:rsid w:val="00E7744D"/>
    <w:rsid w:val="00EF4185"/>
    <w:rsid w:val="00F9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64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464F"/>
    <w:pPr>
      <w:ind w:left="720"/>
      <w:contextualSpacing/>
    </w:pPr>
    <w:rPr>
      <w:rFonts w:eastAsiaTheme="minorEastAsia"/>
      <w:lang w:eastAsia="es-AR"/>
    </w:rPr>
  </w:style>
  <w:style w:type="character" w:styleId="Hipervnculo">
    <w:name w:val="Hyperlink"/>
    <w:basedOn w:val="Fuentedeprrafopredeter"/>
    <w:uiPriority w:val="99"/>
    <w:unhideWhenUsed/>
    <w:rsid w:val="007646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6C1CC6"/>
    <w:rPr>
      <w:b/>
      <w:bCs/>
    </w:rPr>
  </w:style>
  <w:style w:type="character" w:styleId="nfasis">
    <w:name w:val="Emphasis"/>
    <w:basedOn w:val="Fuentedeprrafopredeter"/>
    <w:uiPriority w:val="20"/>
    <w:qFormat/>
    <w:rsid w:val="006C1CC6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8946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65D"/>
  </w:style>
  <w:style w:type="paragraph" w:styleId="Piedepgina">
    <w:name w:val="footer"/>
    <w:basedOn w:val="Normal"/>
    <w:link w:val="PiedepginaCar"/>
    <w:uiPriority w:val="99"/>
    <w:unhideWhenUsed/>
    <w:rsid w:val="008946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65D"/>
  </w:style>
  <w:style w:type="paragraph" w:styleId="Textodeglobo">
    <w:name w:val="Balloon Text"/>
    <w:basedOn w:val="Normal"/>
    <w:link w:val="TextodegloboCar"/>
    <w:uiPriority w:val="99"/>
    <w:semiHidden/>
    <w:unhideWhenUsed/>
    <w:rsid w:val="0089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64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464F"/>
    <w:pPr>
      <w:ind w:left="720"/>
      <w:contextualSpacing/>
    </w:pPr>
    <w:rPr>
      <w:rFonts w:eastAsiaTheme="minorEastAsia"/>
      <w:lang w:eastAsia="es-AR"/>
    </w:rPr>
  </w:style>
  <w:style w:type="character" w:styleId="Hipervnculo">
    <w:name w:val="Hyperlink"/>
    <w:basedOn w:val="Fuentedeprrafopredeter"/>
    <w:uiPriority w:val="99"/>
    <w:unhideWhenUsed/>
    <w:rsid w:val="007646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6C1CC6"/>
    <w:rPr>
      <w:b/>
      <w:bCs/>
    </w:rPr>
  </w:style>
  <w:style w:type="character" w:styleId="nfasis">
    <w:name w:val="Emphasis"/>
    <w:basedOn w:val="Fuentedeprrafopredeter"/>
    <w:uiPriority w:val="20"/>
    <w:qFormat/>
    <w:rsid w:val="006C1CC6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8946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65D"/>
  </w:style>
  <w:style w:type="paragraph" w:styleId="Piedepgina">
    <w:name w:val="footer"/>
    <w:basedOn w:val="Normal"/>
    <w:link w:val="PiedepginaCar"/>
    <w:uiPriority w:val="99"/>
    <w:unhideWhenUsed/>
    <w:rsid w:val="008946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65D"/>
  </w:style>
  <w:style w:type="paragraph" w:styleId="Textodeglobo">
    <w:name w:val="Balloon Text"/>
    <w:basedOn w:val="Normal"/>
    <w:link w:val="TextodegloboCar"/>
    <w:uiPriority w:val="99"/>
    <w:semiHidden/>
    <w:unhideWhenUsed/>
    <w:rsid w:val="0089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doy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audiapilar2014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1372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5</cp:revision>
  <dcterms:created xsi:type="dcterms:W3CDTF">2019-04-09T20:56:00Z</dcterms:created>
  <dcterms:modified xsi:type="dcterms:W3CDTF">2019-04-09T21:07:00Z</dcterms:modified>
</cp:coreProperties>
</file>